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B7D7" w14:textId="77777777" w:rsidR="00CC2218" w:rsidRPr="00EB0EEC" w:rsidRDefault="006F3F53" w:rsidP="00D631F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РЕКОМЕНДАЦИИ </w:t>
      </w:r>
    </w:p>
    <w:p w14:paraId="4C198168" w14:textId="77777777" w:rsidR="003C701F" w:rsidRPr="00EB0EEC" w:rsidRDefault="00CC2218" w:rsidP="00D631F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по подготовке </w:t>
      </w:r>
      <w:r w:rsidR="00D631FB">
        <w:rPr>
          <w:rFonts w:ascii="Times New Roman" w:hAnsi="Times New Roman" w:cs="Times New Roman"/>
          <w:sz w:val="24"/>
          <w:szCs w:val="24"/>
          <w:lang w:val="ru-RU"/>
        </w:rPr>
        <w:t>Финансовой модели проекта</w:t>
      </w:r>
    </w:p>
    <w:p w14:paraId="09864581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252DB7" w14:textId="77777777" w:rsidR="003C701F" w:rsidRPr="00EB0EEC" w:rsidRDefault="00CC2218" w:rsidP="00CC2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модель проекта </w:t>
      </w:r>
      <w:r w:rsidR="006F3F53" w:rsidRPr="00EB0EEC">
        <w:rPr>
          <w:rFonts w:ascii="Times New Roman" w:hAnsi="Times New Roman" w:cs="Times New Roman"/>
          <w:sz w:val="24"/>
          <w:szCs w:val="24"/>
          <w:lang w:val="ru-RU"/>
        </w:rPr>
        <w:t>- один из основных документов проекта, позволяющий оценить целесообразность реализации проекта и эффективность принятых решений, планируемых мероприятий, риски инвестиций в проект.</w:t>
      </w:r>
    </w:p>
    <w:p w14:paraId="5057CD1A" w14:textId="77777777" w:rsidR="003C701F" w:rsidRPr="00EB0EEC" w:rsidRDefault="00CC2218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модель </w:t>
      </w:r>
      <w:r w:rsidR="006F3F53" w:rsidRPr="00EB0EEC">
        <w:rPr>
          <w:rFonts w:ascii="Times New Roman" w:hAnsi="Times New Roman" w:cs="Times New Roman"/>
          <w:sz w:val="24"/>
          <w:szCs w:val="24"/>
          <w:lang w:val="ru-RU"/>
        </w:rPr>
        <w:t>предоставляется на этапе подготовки проекта к комплексной экспертизе.</w:t>
      </w:r>
    </w:p>
    <w:p w14:paraId="53642F97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Финансовая модель для учета всех возможных факторов должна быть комплексной, но ее основу, конечно же, составляет аппарат анализа экономических показателей, состоящий из следующей связки: исходные показатели хозяйственной деятельности – финансовые результаты – движение денежных средств.</w:t>
      </w:r>
    </w:p>
    <w:p w14:paraId="4582A931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Финансовая модель позволяет решать следующие задачи:</w:t>
      </w:r>
    </w:p>
    <w:p w14:paraId="40A1A7E0" w14:textId="77777777" w:rsidR="003C701F" w:rsidRPr="00EB0EEC" w:rsidRDefault="006F3F53" w:rsidP="00903E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моделирование денежных потоков и оценка финансового состояния предприятия;</w:t>
      </w:r>
    </w:p>
    <w:p w14:paraId="14B20582" w14:textId="77777777" w:rsidR="003C701F" w:rsidRPr="00EB0EEC" w:rsidRDefault="006F3F53" w:rsidP="00903E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определение оптимальных вариантов возможного финансирования и наглядное отображение движения ресурсов привлекаемого финансирования;</w:t>
      </w:r>
    </w:p>
    <w:p w14:paraId="0C8A0A7F" w14:textId="77777777" w:rsidR="003C701F" w:rsidRPr="00EB0EEC" w:rsidRDefault="006F3F53" w:rsidP="00903E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анализ внутрипроизводственных рисков;</w:t>
      </w:r>
    </w:p>
    <w:p w14:paraId="26C15B71" w14:textId="77777777" w:rsidR="003C701F" w:rsidRPr="00EB0EEC" w:rsidRDefault="006F3F53" w:rsidP="00903E0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определение прибыльности будущего производства и его эффективности для предприятия.</w:t>
      </w:r>
    </w:p>
    <w:p w14:paraId="62DDC575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После заключения договора целевого займа финансовая модель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будет являться основанием для контроля исполнения проекта Фондом развития промышленности Пензенской области (далее – Фонд). </w:t>
      </w:r>
    </w:p>
    <w:p w14:paraId="70ECF750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D8A1C9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возможности модели</w:t>
      </w:r>
    </w:p>
    <w:p w14:paraId="0AC38140" w14:textId="356CBC15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Финансовая модель должна быть создана в формате </w:t>
      </w:r>
      <w:proofErr w:type="spellStart"/>
      <w:r w:rsidR="00830ACD" w:rsidRPr="00830ACD">
        <w:rPr>
          <w:rFonts w:ascii="Times New Roman" w:hAnsi="Times New Roman" w:cs="Times New Roman"/>
          <w:sz w:val="24"/>
          <w:szCs w:val="24"/>
          <w:lang w:val="ru-RU"/>
        </w:rPr>
        <w:t>Microsoft</w:t>
      </w:r>
      <w:proofErr w:type="spellEnd"/>
      <w:r w:rsidR="00830ACD" w:rsidRPr="00830A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0ACD" w:rsidRPr="00830ACD">
        <w:rPr>
          <w:rFonts w:ascii="Times New Roman" w:hAnsi="Times New Roman" w:cs="Times New Roman"/>
          <w:sz w:val="24"/>
          <w:szCs w:val="24"/>
          <w:lang w:val="ru-RU"/>
        </w:rPr>
        <w:t>Excel</w:t>
      </w:r>
      <w:bookmarkStart w:id="0" w:name="_GoBack"/>
      <w:bookmarkEnd w:id="0"/>
      <w:proofErr w:type="spellEnd"/>
      <w:r w:rsidRPr="00EB0EEC">
        <w:rPr>
          <w:rFonts w:ascii="Times New Roman" w:hAnsi="Times New Roman" w:cs="Times New Roman"/>
          <w:sz w:val="24"/>
          <w:szCs w:val="24"/>
          <w:lang w:val="ru-RU"/>
        </w:rPr>
        <w:t>. Имя файла финансовой модели должно ясно указывать на версию финансовой модели и дату подготовки.</w:t>
      </w:r>
    </w:p>
    <w:p w14:paraId="094236F1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Никакая часть финансовой модели не должна быть скрыта, защищена, заблокирована или иным образом недоступна для просмотра и внесения изменений.</w:t>
      </w:r>
    </w:p>
    <w:p w14:paraId="4C4261FD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Все элементы, использующиеся при расчетах в составе формул, должны коррелировать с исходными данными и допущениями, представленными в бизнес-плане.</w:t>
      </w:r>
    </w:p>
    <w:p w14:paraId="29B607B8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Финансовая модель должна допускать внесение изменений в расчетах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изменению: цен на продукцию (услуги) предприятия, затрат, инвестиций.</w:t>
      </w:r>
    </w:p>
    <w:p w14:paraId="4752EB65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Все данные в финансовой модели должны аккумулировать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информацию в интегрированные показатели, а именно: формировать прогнозный отчет о доходах и расходах, а также прогнозный отчет о движении денежных средств.</w:t>
      </w:r>
    </w:p>
    <w:p w14:paraId="531D5B74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Формы прогнозной финансовой отчетности и промежуточные отчеты не должны противоречить друг другу.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 w14:paraId="284A6236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Данные финансовой модели не должны противоречить данным, указанным в остальных документах проекта: резюме, смета, бизнес-план, календарный план.</w:t>
      </w:r>
    </w:p>
    <w:p w14:paraId="48A668C4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0DF50E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ab/>
        <w:t>Исходные данные (допущения)</w:t>
      </w:r>
    </w:p>
    <w:p w14:paraId="397EE95C" w14:textId="169CB81A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В числе исходных данных (допущений) для финансовой модели в бизнес-плане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560F">
        <w:rPr>
          <w:rFonts w:ascii="Times New Roman" w:hAnsi="Times New Roman" w:cs="Times New Roman"/>
          <w:sz w:val="24"/>
          <w:szCs w:val="24"/>
          <w:lang w:val="ru-RU"/>
        </w:rPr>
        <w:t>рекомендуется указать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4CB4F01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Основные методические предположения, использованные при построении финансовых прогнозов, в том числе:</w:t>
      </w:r>
    </w:p>
    <w:p w14:paraId="16A2B860" w14:textId="77777777" w:rsidR="003C701F" w:rsidRPr="00EB0EEC" w:rsidRDefault="006F3F53" w:rsidP="002B789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период расчетов по проекту;</w:t>
      </w:r>
    </w:p>
    <w:p w14:paraId="7B87FAA3" w14:textId="77777777" w:rsidR="003C701F" w:rsidRPr="00EB0EEC" w:rsidRDefault="006F3F53" w:rsidP="002B789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начальный момент прогнозного периода (не ранее текущей даты);</w:t>
      </w:r>
    </w:p>
    <w:p w14:paraId="2AA72F29" w14:textId="77777777" w:rsidR="003C701F" w:rsidRPr="00EB0EEC" w:rsidRDefault="006F3F53" w:rsidP="002B789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lastRenderedPageBreak/>
        <w:t>шаг прогноза (минимально: для инвестиционной стадии – один квартал, для операционной стадии - один год);</w:t>
      </w:r>
    </w:p>
    <w:p w14:paraId="6AC8F9C1" w14:textId="77777777" w:rsidR="003C701F" w:rsidRPr="00EB0EEC" w:rsidRDefault="006F3F53" w:rsidP="002B789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тип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денежных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потоков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номинальные/реальные (с поправкой на инфляцию)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итоговая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валюта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денежных потоков;</w:t>
      </w:r>
    </w:p>
    <w:p w14:paraId="3B22545B" w14:textId="77777777" w:rsidR="003C701F" w:rsidRPr="00EB0EEC" w:rsidRDefault="006F3F53" w:rsidP="002B789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принимаемая ставка дисконтирования.</w:t>
      </w:r>
    </w:p>
    <w:p w14:paraId="2F0AE89F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Макроэкономические данные (прогнозы инфляции, обменных курсов, роста реальной заработной платы и т.п.);</w:t>
      </w:r>
    </w:p>
    <w:p w14:paraId="508AF321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Прогноз капитальных вложений;</w:t>
      </w:r>
    </w:p>
    <w:p w14:paraId="7D9E0AE2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2.4.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Прогноз объема производства и объема продаж;</w:t>
      </w:r>
    </w:p>
    <w:p w14:paraId="33146E66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2.5.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Прогноз цен/тарифов на готовую продукцию/услуги;</w:t>
      </w:r>
    </w:p>
    <w:p w14:paraId="31DC00EB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2.6.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Нормы расхода ресурсов на единицу выпуска;</w:t>
      </w:r>
    </w:p>
    <w:p w14:paraId="601C043F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2.7.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Прогноз цен на основное сырье и материалы и других затрат, составляющих значительную долю в себестоимости, прогноз иных переменных затрат;</w:t>
      </w:r>
    </w:p>
    <w:p w14:paraId="2DDBCCAA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2.8.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Прогноз затрат на персонал (штатное расписание или бюджет затрат на персонал с учётом планируемых индексаций оплаты труда и увеличения штата);</w:t>
      </w:r>
    </w:p>
    <w:p w14:paraId="64475F30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2.9.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Прогноз условно постоянных затрат;</w:t>
      </w:r>
    </w:p>
    <w:p w14:paraId="211B8E94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2.10.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ab/>
        <w:t>Условия расчетов с контрагентами (отсрочки и предоплаты по расчетам с поставщиками и подрядчиками, покупателями, бюджетом, персоналом);</w:t>
      </w:r>
    </w:p>
    <w:p w14:paraId="39398AF3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2.11. Налоговые условия (система налогообложения);</w:t>
      </w:r>
    </w:p>
    <w:p w14:paraId="6F94552E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2.12. Прогнозная структура финансирования, условия заёмного финансирования (процентные ставки, график получения и обслуживания долга);</w:t>
      </w:r>
    </w:p>
    <w:p w14:paraId="2894BBCD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2.13. Иные исходные данные и предпосылки, важные для данной отрасли и типа проекта.</w:t>
      </w:r>
    </w:p>
    <w:p w14:paraId="6CF56523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35DC5D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ab/>
        <w:t>Результаты финансовых прогнозов</w:t>
      </w:r>
    </w:p>
    <w:p w14:paraId="36539DF3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Формы прогнозной финансовой отчетности</w:t>
      </w:r>
    </w:p>
    <w:p w14:paraId="40DF35AA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Прогнозная финансовая отчётность составляется для Получателя средств и носит характер управленческой отчётности. Статьи, величина которых является относительно незначительной в масштабах проекта, могут быть объединены. Амортизация указывается только в отчете</w:t>
      </w:r>
      <w:r w:rsidR="00CC2218"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о доходах и расходах.</w:t>
      </w:r>
    </w:p>
    <w:p w14:paraId="4E1A920C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Прогнозный отчет о доходах и расходах должен быть составлен по методу начисления и содержать, в том числе, показатели: выручка, валовая прибыль, валовая рентабельность, EBITDA (операционная прибыль до вычета амортизации, процентов и налогов), EBIT (операционная прибыль до вычета процентов и налогов), налогооблагаемая прибыль, налог на прибыль, чистая прибыль, рентабельность. Если в силу отраслевых или иных особенностей проекта данные показатели не представлены, следует указать факт и причины их отсутствия в описании к финансовой модели.</w:t>
      </w:r>
    </w:p>
    <w:p w14:paraId="6C61C7A6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Прогнозный отчет о движении денежных средств должен включать денежные потоки от операционной, инвестиционной и финансовой деятельности. Денежные потоки, связанные с выплатой процентов и получением государственной поддержки, должны быть раскрыты в отдельных строках.</w:t>
      </w:r>
    </w:p>
    <w:p w14:paraId="7E351DB7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Показатели инвестиционной привлекательности, которые должны быть определены для проекта:</w:t>
      </w:r>
    </w:p>
    <w:p w14:paraId="56C203C5" w14:textId="77777777" w:rsidR="003C701F" w:rsidRPr="00EB0EEC" w:rsidRDefault="006F3F53" w:rsidP="002B789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чистый дисконтированный доход проекта (NPV) за весь период расчетов;</w:t>
      </w:r>
    </w:p>
    <w:p w14:paraId="6C177401" w14:textId="77777777" w:rsidR="003C701F" w:rsidRPr="00EB0EEC" w:rsidRDefault="006F3F53" w:rsidP="002B789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дисконтированный период окупаемости проекта (DPB);</w:t>
      </w:r>
    </w:p>
    <w:p w14:paraId="5ACA4997" w14:textId="77777777" w:rsidR="003C701F" w:rsidRPr="00EB0EEC" w:rsidRDefault="006F3F53" w:rsidP="002B789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индекс доходности проекта (</w:t>
      </w:r>
      <w:r w:rsidRPr="00EB0EEC">
        <w:rPr>
          <w:rFonts w:ascii="Times New Roman" w:hAnsi="Times New Roman" w:cs="Times New Roman"/>
          <w:sz w:val="24"/>
          <w:szCs w:val="24"/>
        </w:rPr>
        <w:t>ID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1D76102E" w14:textId="77777777" w:rsidR="003C701F" w:rsidRPr="00EB0EEC" w:rsidRDefault="006F3F53" w:rsidP="002B789B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среднюю норму рентабельности проекта за весь период расчетов (</w:t>
      </w:r>
      <w:r w:rsidRPr="00EB0EEC">
        <w:rPr>
          <w:rFonts w:ascii="Times New Roman" w:hAnsi="Times New Roman" w:cs="Times New Roman"/>
          <w:sz w:val="24"/>
          <w:szCs w:val="24"/>
        </w:rPr>
        <w:t>ARR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55784E2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Отдельно должно быть представлено соотношение собственных и заемных средств по проекту, в том числе по источникам финансирования.</w:t>
      </w:r>
    </w:p>
    <w:p w14:paraId="1991B995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Привести значения коэффициентов автономии и финансовой зависимости, определяемые к общей сумме затрат на проект.</w:t>
      </w:r>
    </w:p>
    <w:p w14:paraId="068936B0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По окончании каждого прогнозного шага сумма остатка денежных средств Заявителя должна </w:t>
      </w:r>
      <w:r w:rsidRPr="00EB0EEC">
        <w:rPr>
          <w:rFonts w:ascii="Times New Roman" w:hAnsi="Times New Roman" w:cs="Times New Roman"/>
          <w:b/>
          <w:i/>
          <w:sz w:val="24"/>
          <w:szCs w:val="24"/>
          <w:lang w:val="ru-RU"/>
        </w:rPr>
        <w:t>иметь положительное значение</w:t>
      </w:r>
      <w:r w:rsidRPr="00EB0E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03C232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 привлечении заёмного финансирования должны прогнозироваться платежи по обслуживанию долга с учетом графика уплаты процентов и погашения основного долга, предусмотренных Фондом. </w:t>
      </w:r>
    </w:p>
    <w:p w14:paraId="003DE437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Рекомендуется прогнозировать денежные потоки в рублях с учетом прогнозируемых изменений курсов валют.</w:t>
      </w:r>
    </w:p>
    <w:p w14:paraId="6168C29B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 xml:space="preserve">Срок жизни проекта устанавливается не меньше срока, на который привлекаются денежные средства, но не более 8 лет. </w:t>
      </w:r>
    </w:p>
    <w:p w14:paraId="0AFEB018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Ставка дисконтирования согласуется с Фондом.</w:t>
      </w:r>
    </w:p>
    <w:p w14:paraId="67B64D47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BF7E59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b/>
          <w:sz w:val="24"/>
          <w:szCs w:val="24"/>
          <w:lang w:val="ru-RU"/>
        </w:rPr>
        <w:t>Источники информации</w:t>
      </w:r>
    </w:p>
    <w:p w14:paraId="685F0933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sz w:val="24"/>
          <w:szCs w:val="24"/>
          <w:lang w:val="ru-RU"/>
        </w:rPr>
        <w:t>Источники информации для подготовки бизнес-плана и исходных данных (допущений) для финансовой модели приводятся в виде отдельного приложения к финансовой модели или примечаний в бизнес-плане.</w:t>
      </w:r>
    </w:p>
    <w:p w14:paraId="20F0E6CF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D361A6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560F">
        <w:rPr>
          <w:rFonts w:ascii="Times New Roman" w:hAnsi="Times New Roman" w:cs="Times New Roman"/>
          <w:sz w:val="24"/>
          <w:szCs w:val="24"/>
          <w:lang w:val="ru-RU"/>
        </w:rPr>
        <w:t>Рекомендуемый внешний вид таблиц:</w:t>
      </w:r>
    </w:p>
    <w:p w14:paraId="4C55FDF6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noProof/>
          <w:sz w:val="24"/>
          <w:szCs w:val="24"/>
          <w:lang w:val="ru-RU" w:eastAsia="ru-RU"/>
        </w:rPr>
        <w:drawing>
          <wp:inline distT="0" distB="0" distL="0" distR="0" wp14:anchorId="08851A4D" wp14:editId="754EA900">
            <wp:extent cx="6010275" cy="2952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4860" t="25650" r="11598" b="1440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952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CAC59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6C8DFA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noProof/>
          <w:sz w:val="24"/>
          <w:szCs w:val="24"/>
          <w:lang w:val="ru-RU" w:eastAsia="ru-RU"/>
        </w:rPr>
        <w:drawing>
          <wp:inline distT="0" distB="0" distL="0" distR="0" wp14:anchorId="65B66B92" wp14:editId="2249A292">
            <wp:extent cx="5829300" cy="2676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10345" t="29275" r="8151" b="1245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676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F79C7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3F857C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noProof/>
          <w:sz w:val="24"/>
          <w:szCs w:val="24"/>
          <w:lang w:val="ru-RU" w:eastAsia="ru-RU"/>
        </w:rPr>
        <w:drawing>
          <wp:inline distT="0" distB="0" distL="0" distR="0" wp14:anchorId="7DEE8F68" wp14:editId="440076DA">
            <wp:extent cx="5734050" cy="2238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0502" t="28997" r="8464" b="1106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38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0B6BF" w14:textId="77777777" w:rsidR="003C701F" w:rsidRPr="00EB0EEC" w:rsidRDefault="003C701F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9F88EB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noProof/>
          <w:sz w:val="24"/>
          <w:szCs w:val="24"/>
          <w:lang w:val="ru-RU" w:eastAsia="ru-RU"/>
        </w:rPr>
        <w:drawing>
          <wp:inline distT="0" distB="0" distL="0" distR="0" wp14:anchorId="60DC5C97" wp14:editId="00D8ED11">
            <wp:extent cx="5800725" cy="37465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1285" t="27045" r="38245" b="14963"/>
                    <a:stretch>
                      <a:fillRect/>
                    </a:stretch>
                  </pic:blipFill>
                  <pic:spPr>
                    <a:xfrm>
                      <a:off x="0" y="0"/>
                      <a:ext cx="5805214" cy="37499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5671" w14:textId="77777777" w:rsidR="003C701F" w:rsidRPr="00EB0EEC" w:rsidRDefault="006F3F53" w:rsidP="00CC2218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0EE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1D0B6158" wp14:editId="58A24157">
            <wp:extent cx="6068695" cy="3203575"/>
            <wp:effectExtent l="0" t="0" r="8255" b="15875"/>
            <wp:docPr id="6" name="Изображение 6" descr="2023-06-15_11-26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2023-06-15_11-26-2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EE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63B179D0" wp14:editId="2A9B0292">
            <wp:extent cx="6075045" cy="3221990"/>
            <wp:effectExtent l="0" t="0" r="1905" b="16510"/>
            <wp:docPr id="2" name="Изображение 2" descr="2023-06-15_11-26-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3-06-15_11-26-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504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01F" w:rsidRPr="00EB0EEC" w:rsidSect="00CC2218">
      <w:headerReference w:type="default" r:id="rId14"/>
      <w:pgSz w:w="11910" w:h="16840"/>
      <w:pgMar w:top="1134" w:right="567" w:bottom="1134" w:left="1134" w:header="709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8C708" w14:textId="77777777" w:rsidR="006F3F53" w:rsidRDefault="006F3F53">
      <w:r>
        <w:separator/>
      </w:r>
    </w:p>
  </w:endnote>
  <w:endnote w:type="continuationSeparator" w:id="0">
    <w:p w14:paraId="576571AD" w14:textId="77777777" w:rsidR="006F3F53" w:rsidRDefault="006F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E64FF" w14:textId="77777777" w:rsidR="006F3F53" w:rsidRDefault="006F3F53">
      <w:r>
        <w:separator/>
      </w:r>
    </w:p>
  </w:footnote>
  <w:footnote w:type="continuationSeparator" w:id="0">
    <w:p w14:paraId="5D37BDB6" w14:textId="77777777" w:rsidR="006F3F53" w:rsidRDefault="006F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113B3" w14:textId="77777777" w:rsidR="003C701F" w:rsidRDefault="003C701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33A"/>
    <w:multiLevelType w:val="hybridMultilevel"/>
    <w:tmpl w:val="92EE500E"/>
    <w:lvl w:ilvl="0" w:tplc="F7B8DFA2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26C5F"/>
    <w:multiLevelType w:val="hybridMultilevel"/>
    <w:tmpl w:val="6F544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697"/>
    <w:multiLevelType w:val="hybridMultilevel"/>
    <w:tmpl w:val="18782806"/>
    <w:lvl w:ilvl="0" w:tplc="CBBA2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11B58"/>
    <w:multiLevelType w:val="hybridMultilevel"/>
    <w:tmpl w:val="58A87B0E"/>
    <w:lvl w:ilvl="0" w:tplc="F7B8DFA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4ABC"/>
    <w:multiLevelType w:val="hybridMultilevel"/>
    <w:tmpl w:val="B04CCAB6"/>
    <w:lvl w:ilvl="0" w:tplc="F7B8DFA2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744A44"/>
    <w:multiLevelType w:val="hybridMultilevel"/>
    <w:tmpl w:val="AD90F646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06690"/>
    <w:multiLevelType w:val="hybridMultilevel"/>
    <w:tmpl w:val="03F42428"/>
    <w:lvl w:ilvl="0" w:tplc="F7B8DFA2">
      <w:numFmt w:val="bullet"/>
      <w:lvlText w:val="•"/>
      <w:lvlJc w:val="left"/>
      <w:pPr>
        <w:ind w:left="2160" w:hanging="72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54707A"/>
    <w:multiLevelType w:val="hybridMultilevel"/>
    <w:tmpl w:val="9F9E17D0"/>
    <w:lvl w:ilvl="0" w:tplc="F7B8DFA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31C68"/>
    <w:multiLevelType w:val="hybridMultilevel"/>
    <w:tmpl w:val="FD2AC1DC"/>
    <w:lvl w:ilvl="0" w:tplc="F7B8DFA2">
      <w:numFmt w:val="bullet"/>
      <w:lvlText w:val="•"/>
      <w:lvlJc w:val="left"/>
      <w:pPr>
        <w:ind w:left="1440" w:hanging="72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09"/>
    <w:rsid w:val="0015106C"/>
    <w:rsid w:val="00171676"/>
    <w:rsid w:val="001A3A63"/>
    <w:rsid w:val="001B1584"/>
    <w:rsid w:val="001B21C6"/>
    <w:rsid w:val="001E5020"/>
    <w:rsid w:val="001F5804"/>
    <w:rsid w:val="00205DCB"/>
    <w:rsid w:val="002A438F"/>
    <w:rsid w:val="002B789B"/>
    <w:rsid w:val="002D32AB"/>
    <w:rsid w:val="0033692D"/>
    <w:rsid w:val="003423CC"/>
    <w:rsid w:val="00373125"/>
    <w:rsid w:val="003749E1"/>
    <w:rsid w:val="003C701F"/>
    <w:rsid w:val="00450973"/>
    <w:rsid w:val="004614E6"/>
    <w:rsid w:val="00487D1F"/>
    <w:rsid w:val="00490516"/>
    <w:rsid w:val="004A08B1"/>
    <w:rsid w:val="004B63A6"/>
    <w:rsid w:val="004D46DE"/>
    <w:rsid w:val="005057EC"/>
    <w:rsid w:val="00513014"/>
    <w:rsid w:val="005145C9"/>
    <w:rsid w:val="006130E8"/>
    <w:rsid w:val="0063766C"/>
    <w:rsid w:val="006727E6"/>
    <w:rsid w:val="006E05E0"/>
    <w:rsid w:val="006E6347"/>
    <w:rsid w:val="006E7A8C"/>
    <w:rsid w:val="006F3F53"/>
    <w:rsid w:val="00733DB9"/>
    <w:rsid w:val="00773DBC"/>
    <w:rsid w:val="00830ACD"/>
    <w:rsid w:val="008726A3"/>
    <w:rsid w:val="008958B1"/>
    <w:rsid w:val="008B4437"/>
    <w:rsid w:val="00903E05"/>
    <w:rsid w:val="009364CF"/>
    <w:rsid w:val="00956B40"/>
    <w:rsid w:val="009B5809"/>
    <w:rsid w:val="009C21DB"/>
    <w:rsid w:val="009F3E25"/>
    <w:rsid w:val="00A66B44"/>
    <w:rsid w:val="00A91B66"/>
    <w:rsid w:val="00A95560"/>
    <w:rsid w:val="00B02E3D"/>
    <w:rsid w:val="00B732D8"/>
    <w:rsid w:val="00B74FB5"/>
    <w:rsid w:val="00BA7A04"/>
    <w:rsid w:val="00BC3602"/>
    <w:rsid w:val="00C045E8"/>
    <w:rsid w:val="00C768EC"/>
    <w:rsid w:val="00CC2218"/>
    <w:rsid w:val="00CC3C87"/>
    <w:rsid w:val="00CE3891"/>
    <w:rsid w:val="00D05136"/>
    <w:rsid w:val="00D631FB"/>
    <w:rsid w:val="00D711CA"/>
    <w:rsid w:val="00DD2520"/>
    <w:rsid w:val="00DF40FA"/>
    <w:rsid w:val="00E030C5"/>
    <w:rsid w:val="00E5019B"/>
    <w:rsid w:val="00EB0EEC"/>
    <w:rsid w:val="00EB5AFF"/>
    <w:rsid w:val="00EC2E4C"/>
    <w:rsid w:val="00EE7FD7"/>
    <w:rsid w:val="00F203B3"/>
    <w:rsid w:val="00FB6895"/>
    <w:rsid w:val="00FC5F18"/>
    <w:rsid w:val="00FD560F"/>
    <w:rsid w:val="4BDC2BD5"/>
    <w:rsid w:val="52D43C62"/>
    <w:rsid w:val="63B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DD35"/>
  <w15:docId w15:val="{DC940152-F3AE-4390-9E87-012604A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1"/>
    <w:qFormat/>
    <w:pPr>
      <w:spacing w:line="265" w:lineRule="exact"/>
      <w:ind w:left="40"/>
      <w:outlineLvl w:val="0"/>
    </w:pPr>
    <w:rPr>
      <w:sz w:val="24"/>
      <w:szCs w:val="24"/>
    </w:rPr>
  </w:style>
  <w:style w:type="paragraph" w:styleId="2">
    <w:name w:val="heading 2"/>
    <w:basedOn w:val="a"/>
    <w:next w:val="a"/>
    <w:uiPriority w:val="1"/>
    <w:qFormat/>
    <w:pPr>
      <w:ind w:left="529" w:hanging="42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spacing w:before="37"/>
      <w:ind w:left="810" w:hanging="28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Arial" w:eastAsia="Arial" w:hAnsi="Arial" w:cs="Arial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Arial" w:eastAsia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D404-AE66-4898-8571-06CC912C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1033</Words>
  <Characters>5893</Characters>
  <Application>Microsoft Office Word</Application>
  <DocSecurity>0</DocSecurity>
  <Lines>49</Lines>
  <Paragraphs>13</Paragraphs>
  <ScaleCrop>false</ScaleCrop>
  <Company>Work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Юмалин Дмитрий Павлович</dc:creator>
  <cp:lastModifiedBy>Work</cp:lastModifiedBy>
  <cp:revision>14</cp:revision>
  <cp:lastPrinted>2017-11-07T12:51:00Z</cp:lastPrinted>
  <dcterms:created xsi:type="dcterms:W3CDTF">2017-12-07T10:01:00Z</dcterms:created>
  <dcterms:modified xsi:type="dcterms:W3CDTF">2026-03-04T05:06:00Z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2017-09-05T00:00:00Z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532D493C9A9940CDBBD99716CE6A414D</vt:lpwstr>
  </property>
</Properties>
</file>